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lineRule="auto"/>
        <w:jc w:val="center"/>
      </w:pPr>
      <w:r>
        <w:rPr>
          <w:rFonts w:ascii="Times New Roman" w:cs="Times New Roman" w:eastAsia="Times New Roman" w:hAnsi="Times New Roman"/>
          <w:b/>
          <w:bCs/>
          <w:sz w:val="24"/>
          <w:szCs w:val="24"/>
        </w:rPr>
        <w:t xml:space="preserve">Innatism and Second Language Acquisition:</w:t>
      </w:r>
    </w:p>
    <w:p>
      <w:pPr>
        <w:spacing w:after="0" w:before="0" w:line="480" w:lineRule="auto"/>
        <w:jc w:val="center"/>
      </w:pPr>
      <w:r>
        <w:rPr>
          <w:rFonts w:ascii="Times New Roman" w:cs="Times New Roman" w:eastAsia="Times New Roman" w:hAnsi="Times New Roman"/>
          <w:b/>
          <w:bCs/>
          <w:sz w:val="24"/>
          <w:szCs w:val="24"/>
        </w:rPr>
        <w:t xml:space="preserve">Implications for English as a Second Language Instruction</w:t>
      </w:r>
    </w:p>
    <w:p>
      <w:pPr>
        <w:spacing w:after="0" w:before="0" w:line="480" w:lineRule="auto"/>
        <w:jc w:val="center"/>
      </w:pPr>
      <w:r>
        <w:rPr>
          <w:rFonts w:ascii="Times New Roman" w:cs="Times New Roman" w:eastAsia="Times New Roman" w:hAnsi="Times New Roman"/>
          <w:b w:val="false"/>
          <w:bCs w:val="false"/>
          <w:sz w:val="24"/>
          <w:szCs w:val="24"/>
        </w:rPr>
        <w:t xml:space="preserve"/>
      </w:r>
    </w:p>
    <w:p>
      <w:pPr>
        <w:spacing w:after="0" w:before="0" w:line="480" w:lineRule="auto"/>
        <w:jc w:val="center"/>
      </w:pPr>
      <w:r>
        <w:rPr>
          <w:rFonts w:ascii="Times New Roman" w:cs="Times New Roman" w:eastAsia="Times New Roman" w:hAnsi="Times New Roman"/>
          <w:b w:val="false"/>
          <w:bCs w:val="false"/>
          <w:sz w:val="24"/>
          <w:szCs w:val="24"/>
        </w:rPr>
        <w:t xml:space="preserve">Ben Cunningham</w:t>
      </w:r>
    </w:p>
    <w:p>
      <w:pPr>
        <w:spacing w:after="0" w:before="0" w:line="480" w:lineRule="auto"/>
        <w:jc w:val="center"/>
      </w:pPr>
      <w:r>
        <w:rPr>
          <w:rFonts w:ascii="Times New Roman" w:cs="Times New Roman" w:eastAsia="Times New Roman" w:hAnsi="Times New Roman"/>
          <w:b w:val="false"/>
          <w:bCs w:val="false"/>
          <w:sz w:val="24"/>
          <w:szCs w:val="24"/>
        </w:rPr>
        <w:t xml:space="preserve">Moreland University</w:t>
      </w:r>
    </w:p>
    <w:p>
      <w:pPr>
        <w:spacing w:after="0" w:before="0" w:line="480" w:lineRule="auto"/>
        <w:jc w:val="center"/>
      </w:pPr>
      <w:r>
        <w:rPr>
          <w:rFonts w:ascii="Times New Roman" w:cs="Times New Roman" w:eastAsia="Times New Roman" w:hAnsi="Times New Roman"/>
          <w:b w:val="false"/>
          <w:bCs w:val="false"/>
          <w:sz w:val="24"/>
          <w:szCs w:val="24"/>
        </w:rPr>
        <w:t xml:space="preserve">Method Subject: English as a Second Language</w:t>
      </w:r>
    </w:p>
    <w:p>
      <w:pPr>
        <w:spacing w:after="0" w:before="0" w:line="480" w:lineRule="auto"/>
        <w:jc w:val="center"/>
      </w:pPr>
      <w:r>
        <w:rPr>
          <w:rFonts w:ascii="Times New Roman" w:cs="Times New Roman" w:eastAsia="Times New Roman" w:hAnsi="Times New Roman"/>
          <w:b/>
          <w:bCs/>
          <w:sz w:val="24"/>
          <w:szCs w:val="24"/>
        </w:rPr>
        <w:t xml:space="preserve">Language as a System</w:t>
      </w:r>
    </w:p>
    <w:p>
      <w:pPr>
        <w:spacing w:after="0" w:before="0" w:line="480" w:lineRule="auto"/>
        <w:ind w:firstLine="720"/>
      </w:pPr>
      <w:r>
        <w:rPr>
          <w:rFonts w:ascii="Times New Roman" w:cs="Times New Roman" w:eastAsia="Times New Roman" w:hAnsi="Times New Roman"/>
          <w:i w:val="false"/>
          <w:iCs w:val="false"/>
          <w:sz w:val="24"/>
          <w:szCs w:val="24"/>
        </w:rPr>
        <w:t xml:space="preserve">Language is not one skill but a layered system, and each layer carries its own units and rules. Phonology governs the inventory of meaningful sounds and the combinations a language permits; an English speaker rejects the cluster in “ngoma” not from ignorance but because the phonotactics of English disallow initial /ŋ/. Morphology concerns the smallest meaning-bearing units, so that a learner who produces “unhappiness” has manipulated three morphemes. Syntax supplies the hierarchical rules by which words combine into phrases and clauses, semantics assigns meaning, and pragmatics governs use in context — the reason “Can you pass the salt?” functions as a request rather than a question about ability. A learner may control one subsystem while another lags, which is why an English learner with strong conversational fluency can still struggle with academic writing.</w:t>
      </w:r>
    </w:p>
    <w:p>
      <w:pPr>
        <w:spacing w:after="0" w:before="0" w:line="480" w:lineRule="auto"/>
        <w:ind w:firstLine="720"/>
      </w:pPr>
      <w:r>
        <w:rPr>
          <w:rFonts w:ascii="Times New Roman" w:cs="Times New Roman" w:eastAsia="Times New Roman" w:hAnsi="Times New Roman"/>
          <w:i w:val="false"/>
          <w:iCs w:val="false"/>
          <w:sz w:val="24"/>
          <w:szCs w:val="24"/>
        </w:rPr>
        <w:t xml:space="preserve">First-language development follows a strikingly uniform course. Infants move from cooing and babbling to holophrastic single words near twelve months, two-word combinations around eighteen months, telegraphic speech, and then a rapid expansion of morphology and complex syntax. The most revealing evidence appears in errors. Children who have said “went” correctly begin producing “goed” and “foots” — forms they have never heard from an adult. Overregularization is not imitation breaking down; it is proof that the child has extracted a rule and is applying it productively.</w:t>
      </w:r>
    </w:p>
    <w:p>
      <w:pPr>
        <w:spacing w:after="0" w:before="0" w:line="480" w:lineRule="auto"/>
        <w:jc w:val="center"/>
      </w:pPr>
      <w:r>
        <w:rPr>
          <w:rFonts w:ascii="Times New Roman" w:cs="Times New Roman" w:eastAsia="Times New Roman" w:hAnsi="Times New Roman"/>
          <w:b/>
          <w:bCs/>
          <w:sz w:val="24"/>
          <w:szCs w:val="24"/>
        </w:rPr>
        <w:t xml:space="preserve">Innatism and the Developmental Process</w:t>
      </w:r>
    </w:p>
    <w:p>
      <w:pPr>
        <w:spacing w:after="0" w:before="0" w:line="480" w:lineRule="auto"/>
        <w:ind w:firstLine="720"/>
      </w:pPr>
      <w:r>
        <w:rPr>
          <w:rFonts w:ascii="Times New Roman" w:cs="Times New Roman" w:eastAsia="Times New Roman" w:hAnsi="Times New Roman"/>
          <w:i w:val="false"/>
          <w:iCs w:val="false"/>
          <w:sz w:val="24"/>
          <w:szCs w:val="24"/>
        </w:rPr>
        <w:t xml:space="preserve">Innatism holds that this uniformity is possible because humans are biologically endowed for language. Chomsky (1959) argued in his review of Skinner that behaviorist accounts of imitation and reinforcement cannot explain productive novel utterances, and formalized the alternative through Universal Grammar (Chomsky, 1965): an innate architecture of principles common to all human languages, with parameters set by exposure to a particular one. The central argument is the poverty of the stimulus. The input a child receives is finite, degenerate, and provides almost no negative evidence about what is ungrammatical, yet every typically developing child converges on a complex grammar on roughly the same timetable regardless of culture or parenting style.</w:t>
      </w:r>
    </w:p>
    <w:p>
      <w:pPr>
        <w:spacing w:after="0" w:before="0" w:line="480" w:lineRule="auto"/>
        <w:ind w:firstLine="720"/>
      </w:pPr>
      <w:r>
        <w:rPr>
          <w:rFonts w:ascii="Times New Roman" w:cs="Times New Roman" w:eastAsia="Times New Roman" w:hAnsi="Times New Roman"/>
          <w:i w:val="false"/>
          <w:iCs w:val="false"/>
          <w:sz w:val="24"/>
          <w:szCs w:val="24"/>
        </w:rPr>
        <w:t xml:space="preserve">Read through this lens, development is triggering rather than teaching. Input does not build the grammar; it activates and specifies a system already present. Predictable stages and overregularization errors are precisely what the theory expects, because the child is running an internal acquisition mechanism, not accumulating habits.</w:t>
      </w:r>
    </w:p>
    <w:p>
      <w:pPr>
        <w:spacing w:after="0" w:before="0" w:line="480" w:lineRule="auto"/>
        <w:jc w:val="center"/>
      </w:pPr>
      <w:r>
        <w:rPr>
          <w:rFonts w:ascii="Times New Roman" w:cs="Times New Roman" w:eastAsia="Times New Roman" w:hAnsi="Times New Roman"/>
          <w:b/>
          <w:bCs/>
          <w:sz w:val="24"/>
          <w:szCs w:val="24"/>
        </w:rPr>
        <w:t xml:space="preserve">First and Second Language Acquisition Compared</w:t>
      </w:r>
    </w:p>
    <w:p>
      <w:pPr>
        <w:spacing w:after="0" w:before="0" w:line="480" w:lineRule="auto"/>
        <w:ind w:firstLine="720"/>
      </w:pPr>
      <w:r>
        <w:rPr>
          <w:rFonts w:ascii="Times New Roman" w:cs="Times New Roman" w:eastAsia="Times New Roman" w:hAnsi="Times New Roman"/>
          <w:i w:val="false"/>
          <w:iCs w:val="false"/>
          <w:sz w:val="24"/>
          <w:szCs w:val="24"/>
        </w:rPr>
        <w:t xml:space="preserve">Innatist accounts predict genuine similarities. Both first and second language learners pass through developmental sequences that resist reordering by instruction; a learner will not produce third-person –s reliably because a teacher has taught it early. Both construct systematic interlanguage grammars and both produce rule-governed errors rather than random ones.</w:t>
      </w:r>
    </w:p>
    <w:p>
      <w:pPr>
        <w:spacing w:after="0" w:before="0" w:line="480" w:lineRule="auto"/>
        <w:ind w:firstLine="720"/>
      </w:pPr>
      <w:r>
        <w:rPr>
          <w:rFonts w:ascii="Times New Roman" w:cs="Times New Roman" w:eastAsia="Times New Roman" w:hAnsi="Times New Roman"/>
          <w:i w:val="false"/>
          <w:iCs w:val="false"/>
          <w:sz w:val="24"/>
          <w:szCs w:val="24"/>
        </w:rPr>
        <w:t xml:space="preserve">The decisive difference is outcome. First language acquisition is uniformly successful; second language acquisition is not, and it degrades with age. Johnson and Newport (1989) found that grammaticality judgment performance among Chinese and Korean immigrants declined systematically with age of arrival, a finding widely read as evidence of maturational constraints. Innatists disagree sharply about why, and White (2003) frames the dispute as one about how much of Universal Grammar remains available after childhood. Schwartz and Sprouse (1996) argue for Full Transfer/Full Access: learners begin from the L1 grammar but retain access to Universal Grammar, so restructuring toward the target remains possible. Bley-Vroman (1990) counters with the Fundamental Difference Hypothesis, holding that adults have lost direct access and instead recruit general problem-solving abilities alongside knowledge of the first language. A second difference the theory does not itself explain is motivation and affect, which matter enormously in adult classrooms and sit largely outside the model.</w:t>
      </w:r>
    </w:p>
    <w:p>
      <w:pPr>
        <w:spacing w:after="0" w:before="0" w:line="480" w:lineRule="auto"/>
        <w:jc w:val="center"/>
      </w:pPr>
      <w:r>
        <w:rPr>
          <w:rFonts w:ascii="Times New Roman" w:cs="Times New Roman" w:eastAsia="Times New Roman" w:hAnsi="Times New Roman"/>
          <w:b/>
          <w:bCs/>
          <w:sz w:val="24"/>
          <w:szCs w:val="24"/>
        </w:rPr>
        <w:t xml:space="preserve">Beyond the Mind: Contextual and Sociopolitical Factors</w:t>
      </w:r>
    </w:p>
    <w:p>
      <w:pPr>
        <w:spacing w:after="0" w:before="0" w:line="480" w:lineRule="auto"/>
        <w:ind w:firstLine="720"/>
      </w:pPr>
      <w:r>
        <w:rPr>
          <w:rFonts w:ascii="Times New Roman" w:cs="Times New Roman" w:eastAsia="Times New Roman" w:hAnsi="Times New Roman"/>
          <w:i w:val="false"/>
          <w:iCs w:val="false"/>
          <w:sz w:val="24"/>
          <w:szCs w:val="24"/>
        </w:rPr>
        <w:t xml:space="preserve">Innatism explains what the mind does with input, but it is silent on who receives that input, how much of it, and under what conditions. The theory treats input as a given. In real schools, input is distributed unequally by policy, ideology, economics, and fear, and these forces shape an English learner’s education as much as any internal mechanism. Even the age effect is not purely biological. When Hakuta et al. (2003) analyzed U.S. census data from more than two million Spanish- and Chinese-speaking immigrants, English proficiency declined gradually with age of arrival rather than dropping sharply at a critical point, and years of formal education strongly predicted proficiency. Part of what looks like a maturational limit is a history of schooling, work, and opportunity.</w:t>
      </w:r>
    </w:p>
    <w:p>
      <w:pPr>
        <w:spacing w:after="0" w:before="0" w:line="480" w:lineRule="auto"/>
        <w:ind w:firstLine="720"/>
      </w:pPr>
      <w:r>
        <w:rPr>
          <w:rFonts w:ascii="Times New Roman" w:cs="Times New Roman" w:eastAsia="Times New Roman" w:hAnsi="Times New Roman"/>
          <w:i w:val="false"/>
          <w:iCs w:val="false"/>
          <w:sz w:val="24"/>
          <w:szCs w:val="24"/>
        </w:rPr>
        <w:t xml:space="preserve">Language policy and ideology are the first layer. When programs are built around an English-only orientation, home languages are treated as obstacles and English is taught at the expense of content. Umansky and Avelar (2023) argue that the outcomes of students classified as long-term English learners expose four systemic pitfalls: an overwhelming focus on English that crowds out language diversity and core content, uniform supports that ignore individual needs, the stigma attached to the label itself, and a pattern of unequal opportunity to learn. Ideology also shapes how proficiency is heard. Flores and Rosa (2015) show that raciolinguistic ideologies can lead listeners to judge racialized students’ language as deficient even when it matches what is praised in other speakers, so a learner’s “proficiency” is partly located in the ear of the institution. Classification and accountability systems add a further distortion. Because students who succeed are reclassified and leave the English learner category, reporting only on current English learners makes the group appear permanently low-performing; Thompson et al. (2023) propose reporting on “ever English learners” to show the real trajectory of multilingual students and to inform fairer funding and policy decisions.</w:t>
      </w:r>
    </w:p>
    <w:p>
      <w:pPr>
        <w:spacing w:after="0" w:before="0" w:line="480" w:lineRule="auto"/>
        <w:ind w:firstLine="720"/>
      </w:pPr>
      <w:r>
        <w:rPr>
          <w:rFonts w:ascii="Times New Roman" w:cs="Times New Roman" w:eastAsia="Times New Roman" w:hAnsi="Times New Roman"/>
          <w:i w:val="false"/>
          <w:iCs w:val="false"/>
          <w:sz w:val="24"/>
          <w:szCs w:val="24"/>
        </w:rPr>
        <w:t xml:space="preserve">A recent example makes the stakes concrete. In January and February 2025, immigration raids in California’s Central Valley coincided with a 22% increase in daily student absences across five school districts, with the largest increases among the youngest children: about 30% in prekindergarten and 27% in kindergarten through Grade 5 (Dee, 2025). This echoes earlier evidence that local immigration enforcement partnerships reduced Hispanic student enrollment by 10% within two years (Dee &amp; Murphy, 2020). Read against innatist theory, the finding is striking. The early grades are exactly where the theory predicts input will be most productive, yet no Universal Grammar can process language a child never hears because fear keeps the family at home. For children who do attend, anxiety about family separation raises the affective barriers that, as this paper has noted, sit outside the model but inside every classroom. The implication for teachers is practical: attendance outreach through trusted adults, communication in families’ languages, and a clear message that school is a safe place are part of language teaching, not separate from it.</w:t>
      </w:r>
    </w:p>
    <w:p>
      <w:pPr>
        <w:spacing w:after="0" w:before="0" w:line="480" w:lineRule="auto"/>
        <w:ind w:firstLine="720"/>
      </w:pPr>
      <w:r>
        <w:rPr>
          <w:rFonts w:ascii="Times New Roman" w:cs="Times New Roman" w:eastAsia="Times New Roman" w:hAnsi="Times New Roman"/>
          <w:i w:val="false"/>
          <w:iCs w:val="false"/>
          <w:sz w:val="24"/>
          <w:szCs w:val="24"/>
        </w:rPr>
        <w:t xml:space="preserve">Economic and geographic context matters just as much, and I see it in my own classroom. At Ban Han Hee School in rural Surin, Thailand, my students speak an Isan dialect at home, learn Standard Thai at school, and meet English as a third language, almost only in class. Kaur et al. (2016) explain Thailand’s persistently weak English results, despite national reform, largely through structural factors such as teacher preparation, exam-driven curricula, and resource gaps between urban and rural schools, rather than through any shortcoming in the learners themselves. An extensive reading program assumes books; a village with few English books and one shared phone per family does not supply the abundant input the theory requires. In this setting, the input must be deliberately built: a classroom library of graded readers, free audio practice that children can use at home, and home languages treated as a resource rather than a problem.</w:t>
      </w:r>
    </w:p>
    <w:p>
      <w:pPr>
        <w:spacing w:after="0" w:before="0" w:line="480" w:lineRule="auto"/>
        <w:ind w:firstLine="720"/>
      </w:pPr>
      <w:r>
        <w:rPr>
          <w:rFonts w:ascii="Times New Roman" w:cs="Times New Roman" w:eastAsia="Times New Roman" w:hAnsi="Times New Roman"/>
          <w:i w:val="false"/>
          <w:iCs w:val="false"/>
          <w:sz w:val="24"/>
          <w:szCs w:val="24"/>
        </w:rPr>
        <w:t xml:space="preserve">These factors do not refute innatism; they locate it. The theory describes what a learner’s mind needs, while context decides whether the learner receives it. For my practice, this means ensuring that English learners have full access to grade-level content rather than English alone, valuing and using students’ home languages, reading achievement data in ways that include former English learners, partnering with families when outside pressures threaten attendance, and building input-rich environments where the wider community cannot provide them.</w:t>
      </w:r>
    </w:p>
    <w:p>
      <w:pPr>
        <w:spacing w:after="0" w:before="0" w:line="480" w:lineRule="auto"/>
        <w:jc w:val="center"/>
      </w:pPr>
      <w:r>
        <w:rPr>
          <w:rFonts w:ascii="Times New Roman" w:cs="Times New Roman" w:eastAsia="Times New Roman" w:hAnsi="Times New Roman"/>
          <w:b/>
          <w:bCs/>
          <w:sz w:val="24"/>
          <w:szCs w:val="24"/>
        </w:rPr>
        <w:t xml:space="preserve">Aligned Instructional Practice</w:t>
      </w:r>
    </w:p>
    <w:p>
      <w:pPr>
        <w:spacing w:after="0" w:before="0" w:line="480" w:lineRule="auto"/>
        <w:ind w:firstLine="720"/>
      </w:pPr>
      <w:r>
        <w:rPr>
          <w:rFonts w:ascii="Times New Roman" w:cs="Times New Roman" w:eastAsia="Times New Roman" w:hAnsi="Times New Roman"/>
          <w:i w:val="false"/>
          <w:iCs w:val="false"/>
          <w:sz w:val="24"/>
          <w:szCs w:val="24"/>
        </w:rPr>
        <w:t xml:space="preserve">An extensive reading program is the most direct instructional expression of the theory. Students self-select graded readers at a comfortable level and read widely with minimal comprehension accountability, on the rationale that acquisition requires abundant primary linguistic data for the internal mechanism to work on. Nakanishi (2015) meta-analyzed 34 studies covering 3,942 participants and reported a mean effect of </w:t>
      </w:r>
      <w:r>
        <w:rPr>
          <w:rFonts w:ascii="Times New Roman" w:cs="Times New Roman" w:eastAsia="Times New Roman" w:hAnsi="Times New Roman"/>
          <w:i/>
          <w:iCs/>
          <w:sz w:val="24"/>
          <w:szCs w:val="24"/>
        </w:rPr>
        <w:t xml:space="preserve">d</w:t>
      </w:r>
      <w:r>
        <w:rPr>
          <w:rFonts w:ascii="Times New Roman" w:cs="Times New Roman" w:eastAsia="Times New Roman" w:hAnsi="Times New Roman"/>
          <w:i w:val="false"/>
          <w:iCs w:val="false"/>
          <w:sz w:val="24"/>
          <w:szCs w:val="24"/>
        </w:rPr>
        <w:t xml:space="preserve"> = 0.46 for between-group contrasts and </w:t>
      </w:r>
      <w:r>
        <w:rPr>
          <w:rFonts w:ascii="Times New Roman" w:cs="Times New Roman" w:eastAsia="Times New Roman" w:hAnsi="Times New Roman"/>
          <w:i/>
          <w:iCs/>
          <w:sz w:val="24"/>
          <w:szCs w:val="24"/>
        </w:rPr>
        <w:t xml:space="preserve">d</w:t>
      </w:r>
      <w:r>
        <w:rPr>
          <w:rFonts w:ascii="Times New Roman" w:cs="Times New Roman" w:eastAsia="Times New Roman" w:hAnsi="Times New Roman"/>
          <w:i w:val="false"/>
          <w:iCs w:val="false"/>
          <w:sz w:val="24"/>
          <w:szCs w:val="24"/>
        </w:rPr>
        <w:t xml:space="preserve"> = 0.71 for pre-post gains, concluding that extensive reading belongs in language curricula. Given the contextual factors above, the program only works if the school supplies the books and the time to read them.</w:t>
      </w:r>
    </w:p>
    <w:p>
      <w:pPr>
        <w:spacing w:after="0" w:before="0" w:line="480" w:lineRule="auto"/>
        <w:ind w:firstLine="720"/>
      </w:pPr>
      <w:r>
        <w:rPr>
          <w:rFonts w:ascii="Times New Roman" w:cs="Times New Roman" w:eastAsia="Times New Roman" w:hAnsi="Times New Roman"/>
          <w:i w:val="false"/>
          <w:iCs w:val="false"/>
          <w:sz w:val="24"/>
          <w:szCs w:val="24"/>
        </w:rPr>
        <w:t xml:space="preserve">A Total Physical Response sequence honoring a silent period is the second. Students respond physically to spoken commands of increasing complexity before any production is required (Asher, 1969). This aligns with the innatist claim that comprehension drives acquisition and that forcing early output does not accelerate the underlying system. For newcomer English learners it also lowers anxiety, since participation is demonstrated by action rather than speech, which matters most for children carrying stress from outside the classroom.</w:t>
      </w:r>
    </w:p>
    <w:p>
      <w:pPr>
        <w:spacing w:after="0" w:before="0" w:line="480" w:lineRule="auto"/>
        <w:jc w:val="center"/>
      </w:pPr>
      <w:r>
        <w:rPr>
          <w:rFonts w:ascii="Times New Roman" w:cs="Times New Roman" w:eastAsia="Times New Roman" w:hAnsi="Times New Roman"/>
          <w:b/>
          <w:bCs/>
          <w:sz w:val="24"/>
          <w:szCs w:val="24"/>
        </w:rPr>
        <w:t xml:space="preserve">A Tension Worth Naming</w:t>
      </w:r>
    </w:p>
    <w:p>
      <w:pPr>
        <w:spacing w:after="0" w:before="0" w:line="480" w:lineRule="auto"/>
        <w:ind w:firstLine="720"/>
      </w:pPr>
      <w:r>
        <w:rPr>
          <w:rFonts w:ascii="Times New Roman" w:cs="Times New Roman" w:eastAsia="Times New Roman" w:hAnsi="Times New Roman"/>
          <w:i w:val="false"/>
          <w:iCs w:val="false"/>
          <w:sz w:val="24"/>
          <w:szCs w:val="24"/>
        </w:rPr>
        <w:t xml:space="preserve">Innatism sits uneasily with instruction. If grammar is triggered rather than taught, teaching grammar should matter little — yet Norris and Ortega (2000), synthesizing 49 studies, found that explicit instructional treatments substantially outperformed implicit ones. I take the defensible classroom position to be that rich comprehensible input remains the engine of acquisition, while explicit attention to form accelerates the noticing that feeds it. The theory tells me what to build a course around; it does not license me to ignore the evidence that focused instruction helps, or the social conditions that decide whether my students can use what I build.</w:t>
      </w:r>
    </w:p>
    <w:p>
      <w:pPr>
        <w:pageBreakBefore/>
        <w:spacing w:after="0" w:before="0" w:line="480" w:lineRule="auto"/>
      </w:pPr>
    </w:p>
    <w:p>
      <w:pPr>
        <w:spacing w:after="0" w:before="0" w:line="480" w:lineRule="auto"/>
        <w:jc w:val="center"/>
      </w:pPr>
      <w:r>
        <w:rPr>
          <w:rFonts w:ascii="Times New Roman" w:cs="Times New Roman" w:eastAsia="Times New Roman" w:hAnsi="Times New Roman"/>
          <w:b/>
          <w:bCs/>
          <w:sz w:val="24"/>
          <w:szCs w:val="24"/>
        </w:rPr>
        <w:t xml:space="preserve">References</w:t>
      </w:r>
    </w:p>
    <w:p>
      <w:pPr>
        <w:spacing w:after="0" w:before="0" w:line="480" w:lineRule="auto"/>
        <w:ind w:left="720" w:hanging="720"/>
      </w:pPr>
      <w:r>
        <w:rPr>
          <w:rFonts w:ascii="Times New Roman" w:cs="Times New Roman" w:eastAsia="Times New Roman" w:hAnsi="Times New Roman"/>
          <w:i w:val="false"/>
          <w:iCs w:val="false"/>
          <w:sz w:val="24"/>
          <w:szCs w:val="24"/>
        </w:rPr>
        <w:t xml:space="preserve">Asher, J. J. (1969). The total physical response approach to second language learning. </w:t>
      </w:r>
      <w:r>
        <w:rPr>
          <w:rFonts w:ascii="Times New Roman" w:cs="Times New Roman" w:eastAsia="Times New Roman" w:hAnsi="Times New Roman"/>
          <w:i/>
          <w:iCs/>
          <w:sz w:val="24"/>
          <w:szCs w:val="24"/>
        </w:rPr>
        <w:t xml:space="preserve">The Modern Language Journal, 53</w:t>
      </w:r>
      <w:r>
        <w:rPr>
          <w:rFonts w:ascii="Times New Roman" w:cs="Times New Roman" w:eastAsia="Times New Roman" w:hAnsi="Times New Roman"/>
          <w:i w:val="false"/>
          <w:iCs w:val="false"/>
          <w:sz w:val="24"/>
          <w:szCs w:val="24"/>
        </w:rPr>
        <w:t xml:space="preserve">(1), 3–17.</w:t>
      </w:r>
    </w:p>
    <w:p>
      <w:pPr>
        <w:spacing w:after="0" w:before="0" w:line="480" w:lineRule="auto"/>
        <w:ind w:left="720" w:hanging="720"/>
      </w:pPr>
      <w:r>
        <w:rPr>
          <w:rFonts w:ascii="Times New Roman" w:cs="Times New Roman" w:eastAsia="Times New Roman" w:hAnsi="Times New Roman"/>
          <w:i w:val="false"/>
          <w:iCs w:val="false"/>
          <w:sz w:val="24"/>
          <w:szCs w:val="24"/>
        </w:rPr>
        <w:t xml:space="preserve">Bley-Vroman, R. (1990). The logical problem of foreign language learning. </w:t>
      </w:r>
      <w:r>
        <w:rPr>
          <w:rFonts w:ascii="Times New Roman" w:cs="Times New Roman" w:eastAsia="Times New Roman" w:hAnsi="Times New Roman"/>
          <w:i/>
          <w:iCs/>
          <w:sz w:val="24"/>
          <w:szCs w:val="24"/>
        </w:rPr>
        <w:t xml:space="preserve">Linguistic Analysis, 20</w:t>
      </w:r>
      <w:r>
        <w:rPr>
          <w:rFonts w:ascii="Times New Roman" w:cs="Times New Roman" w:eastAsia="Times New Roman" w:hAnsi="Times New Roman"/>
          <w:i w:val="false"/>
          <w:iCs w:val="false"/>
          <w:sz w:val="24"/>
          <w:szCs w:val="24"/>
        </w:rPr>
        <w:t xml:space="preserve">(1–2), 3–49.</w:t>
      </w:r>
    </w:p>
    <w:p>
      <w:pPr>
        <w:spacing w:after="0" w:before="0" w:line="480" w:lineRule="auto"/>
        <w:ind w:left="720" w:hanging="720"/>
      </w:pPr>
      <w:r>
        <w:rPr>
          <w:rFonts w:ascii="Times New Roman" w:cs="Times New Roman" w:eastAsia="Times New Roman" w:hAnsi="Times New Roman"/>
          <w:i w:val="false"/>
          <w:iCs w:val="false"/>
          <w:sz w:val="24"/>
          <w:szCs w:val="24"/>
        </w:rPr>
        <w:t xml:space="preserve">Chomsky, N. (1959). Review of B. F. Skinner’s </w:t>
      </w:r>
      <w:r>
        <w:rPr>
          <w:rFonts w:ascii="Times New Roman" w:cs="Times New Roman" w:eastAsia="Times New Roman" w:hAnsi="Times New Roman"/>
          <w:i/>
          <w:iCs/>
          <w:sz w:val="24"/>
          <w:szCs w:val="24"/>
        </w:rPr>
        <w:t xml:space="preserve">Verbal behavior</w:t>
      </w:r>
      <w:r>
        <w:rPr>
          <w:rFonts w:ascii="Times New Roman" w:cs="Times New Roman" w:eastAsia="Times New Roman" w:hAnsi="Times New Roman"/>
          <w:i w:val="false"/>
          <w:iCs w:val="false"/>
          <w:sz w:val="24"/>
          <w:szCs w:val="24"/>
        </w:rPr>
        <w:t xml:space="preserve">. </w:t>
      </w:r>
      <w:r>
        <w:rPr>
          <w:rFonts w:ascii="Times New Roman" w:cs="Times New Roman" w:eastAsia="Times New Roman" w:hAnsi="Times New Roman"/>
          <w:i/>
          <w:iCs/>
          <w:sz w:val="24"/>
          <w:szCs w:val="24"/>
        </w:rPr>
        <w:t xml:space="preserve">Language, 35</w:t>
      </w:r>
      <w:r>
        <w:rPr>
          <w:rFonts w:ascii="Times New Roman" w:cs="Times New Roman" w:eastAsia="Times New Roman" w:hAnsi="Times New Roman"/>
          <w:i w:val="false"/>
          <w:iCs w:val="false"/>
          <w:sz w:val="24"/>
          <w:szCs w:val="24"/>
        </w:rPr>
        <w:t xml:space="preserve">(1), 26–58.</w:t>
      </w:r>
    </w:p>
    <w:p>
      <w:pPr>
        <w:spacing w:after="0" w:before="0" w:line="480" w:lineRule="auto"/>
        <w:ind w:left="720" w:hanging="720"/>
      </w:pPr>
      <w:r>
        <w:rPr>
          <w:rFonts w:ascii="Times New Roman" w:cs="Times New Roman" w:eastAsia="Times New Roman" w:hAnsi="Times New Roman"/>
          <w:i w:val="false"/>
          <w:iCs w:val="false"/>
          <w:sz w:val="24"/>
          <w:szCs w:val="24"/>
        </w:rPr>
        <w:t xml:space="preserve">Chomsky, N. (1965). </w:t>
      </w:r>
      <w:r>
        <w:rPr>
          <w:rFonts w:ascii="Times New Roman" w:cs="Times New Roman" w:eastAsia="Times New Roman" w:hAnsi="Times New Roman"/>
          <w:i/>
          <w:iCs/>
          <w:sz w:val="24"/>
          <w:szCs w:val="24"/>
        </w:rPr>
        <w:t xml:space="preserve">Aspects of the theory of syntax</w:t>
      </w:r>
      <w:r>
        <w:rPr>
          <w:rFonts w:ascii="Times New Roman" w:cs="Times New Roman" w:eastAsia="Times New Roman" w:hAnsi="Times New Roman"/>
          <w:i w:val="false"/>
          <w:iCs w:val="false"/>
          <w:sz w:val="24"/>
          <w:szCs w:val="24"/>
        </w:rPr>
        <w:t xml:space="preserve">. MIT Press.</w:t>
      </w:r>
    </w:p>
    <w:p>
      <w:pPr>
        <w:spacing w:after="0" w:before="0" w:line="480" w:lineRule="auto"/>
        <w:ind w:left="720" w:hanging="720"/>
      </w:pPr>
      <w:r>
        <w:rPr>
          <w:rFonts w:ascii="Times New Roman" w:cs="Times New Roman" w:eastAsia="Times New Roman" w:hAnsi="Times New Roman"/>
          <w:i w:val="false"/>
          <w:iCs w:val="false"/>
          <w:sz w:val="24"/>
          <w:szCs w:val="24"/>
        </w:rPr>
        <w:t xml:space="preserve">Dee, T. S. (2025). Recent immigration raids increased student absences. </w:t>
      </w:r>
      <w:r>
        <w:rPr>
          <w:rFonts w:ascii="Times New Roman" w:cs="Times New Roman" w:eastAsia="Times New Roman" w:hAnsi="Times New Roman"/>
          <w:i/>
          <w:iCs/>
          <w:sz w:val="24"/>
          <w:szCs w:val="24"/>
        </w:rPr>
        <w:t xml:space="preserve">Proceedings of the National Academy of Sciences, 122</w:t>
      </w:r>
      <w:r>
        <w:rPr>
          <w:rFonts w:ascii="Times New Roman" w:cs="Times New Roman" w:eastAsia="Times New Roman" w:hAnsi="Times New Roman"/>
          <w:i w:val="false"/>
          <w:iCs w:val="false"/>
          <w:sz w:val="24"/>
          <w:szCs w:val="24"/>
        </w:rPr>
        <w:t xml:space="preserve">(45), Article e2510395122. https://doi.org/10.1073/pnas.2510395122</w:t>
      </w:r>
    </w:p>
    <w:p>
      <w:pPr>
        <w:spacing w:after="0" w:before="0" w:line="480" w:lineRule="auto"/>
        <w:ind w:left="720" w:hanging="720"/>
      </w:pPr>
      <w:r>
        <w:rPr>
          <w:rFonts w:ascii="Times New Roman" w:cs="Times New Roman" w:eastAsia="Times New Roman" w:hAnsi="Times New Roman"/>
          <w:i w:val="false"/>
          <w:iCs w:val="false"/>
          <w:sz w:val="24"/>
          <w:szCs w:val="24"/>
        </w:rPr>
        <w:t xml:space="preserve">Dee, T. S., &amp; Murphy, M. (2020). Vanished classmates: The effects of local immigration enforcement on school enrollment. </w:t>
      </w:r>
      <w:r>
        <w:rPr>
          <w:rFonts w:ascii="Times New Roman" w:cs="Times New Roman" w:eastAsia="Times New Roman" w:hAnsi="Times New Roman"/>
          <w:i/>
          <w:iCs/>
          <w:sz w:val="24"/>
          <w:szCs w:val="24"/>
        </w:rPr>
        <w:t xml:space="preserve">American Educational Research Journal, 57</w:t>
      </w:r>
      <w:r>
        <w:rPr>
          <w:rFonts w:ascii="Times New Roman" w:cs="Times New Roman" w:eastAsia="Times New Roman" w:hAnsi="Times New Roman"/>
          <w:i w:val="false"/>
          <w:iCs w:val="false"/>
          <w:sz w:val="24"/>
          <w:szCs w:val="24"/>
        </w:rPr>
        <w:t xml:space="preserve">(2), 694–727. https://doi.org/10.3102/0002831219860816</w:t>
      </w:r>
    </w:p>
    <w:p>
      <w:pPr>
        <w:spacing w:after="0" w:before="0" w:line="480" w:lineRule="auto"/>
        <w:ind w:left="720" w:hanging="720"/>
      </w:pPr>
      <w:r>
        <w:rPr>
          <w:rFonts w:ascii="Times New Roman" w:cs="Times New Roman" w:eastAsia="Times New Roman" w:hAnsi="Times New Roman"/>
          <w:i w:val="false"/>
          <w:iCs w:val="false"/>
          <w:sz w:val="24"/>
          <w:szCs w:val="24"/>
        </w:rPr>
        <w:t xml:space="preserve">Flores, N., &amp; Rosa, J. (2015). Undoing appropriateness: Raciolinguistic ideologies and language diversity in education. </w:t>
      </w:r>
      <w:r>
        <w:rPr>
          <w:rFonts w:ascii="Times New Roman" w:cs="Times New Roman" w:eastAsia="Times New Roman" w:hAnsi="Times New Roman"/>
          <w:i/>
          <w:iCs/>
          <w:sz w:val="24"/>
          <w:szCs w:val="24"/>
        </w:rPr>
        <w:t xml:space="preserve">Harvard Educational Review, 85</w:t>
      </w:r>
      <w:r>
        <w:rPr>
          <w:rFonts w:ascii="Times New Roman" w:cs="Times New Roman" w:eastAsia="Times New Roman" w:hAnsi="Times New Roman"/>
          <w:i w:val="false"/>
          <w:iCs w:val="false"/>
          <w:sz w:val="24"/>
          <w:szCs w:val="24"/>
        </w:rPr>
        <w:t xml:space="preserve">(2), 149–171.</w:t>
      </w:r>
    </w:p>
    <w:p>
      <w:pPr>
        <w:spacing w:after="0" w:before="0" w:line="480" w:lineRule="auto"/>
        <w:ind w:left="720" w:hanging="720"/>
      </w:pPr>
      <w:r>
        <w:rPr>
          <w:rFonts w:ascii="Times New Roman" w:cs="Times New Roman" w:eastAsia="Times New Roman" w:hAnsi="Times New Roman"/>
          <w:i w:val="false"/>
          <w:iCs w:val="false"/>
          <w:sz w:val="24"/>
          <w:szCs w:val="24"/>
        </w:rPr>
        <w:t xml:space="preserve">Hakuta, K., Bialystok, E., &amp; Wiley, E. (2003). Critical evidence: A test of the critical-period hypothesis for second-language acquisition. </w:t>
      </w:r>
      <w:r>
        <w:rPr>
          <w:rFonts w:ascii="Times New Roman" w:cs="Times New Roman" w:eastAsia="Times New Roman" w:hAnsi="Times New Roman"/>
          <w:i/>
          <w:iCs/>
          <w:sz w:val="24"/>
          <w:szCs w:val="24"/>
        </w:rPr>
        <w:t xml:space="preserve">Psychological Science, 14</w:t>
      </w:r>
      <w:r>
        <w:rPr>
          <w:rFonts w:ascii="Times New Roman" w:cs="Times New Roman" w:eastAsia="Times New Roman" w:hAnsi="Times New Roman"/>
          <w:i w:val="false"/>
          <w:iCs w:val="false"/>
          <w:sz w:val="24"/>
          <w:szCs w:val="24"/>
        </w:rPr>
        <w:t xml:space="preserve">(1), 31–38.</w:t>
      </w:r>
    </w:p>
    <w:p>
      <w:pPr>
        <w:spacing w:after="0" w:before="0" w:line="480" w:lineRule="auto"/>
        <w:ind w:left="720" w:hanging="720"/>
      </w:pPr>
      <w:r>
        <w:rPr>
          <w:rFonts w:ascii="Times New Roman" w:cs="Times New Roman" w:eastAsia="Times New Roman" w:hAnsi="Times New Roman"/>
          <w:i w:val="false"/>
          <w:iCs w:val="false"/>
          <w:sz w:val="24"/>
          <w:szCs w:val="24"/>
        </w:rPr>
        <w:t xml:space="preserve">Johnson, J. S., &amp; Newport, E. L. (1989). Critical period effects in second language learning: The influence of maturational state on the acquisition of English as a second language. </w:t>
      </w:r>
      <w:r>
        <w:rPr>
          <w:rFonts w:ascii="Times New Roman" w:cs="Times New Roman" w:eastAsia="Times New Roman" w:hAnsi="Times New Roman"/>
          <w:i/>
          <w:iCs/>
          <w:sz w:val="24"/>
          <w:szCs w:val="24"/>
        </w:rPr>
        <w:t xml:space="preserve">Cognitive Psychology, 21</w:t>
      </w:r>
      <w:r>
        <w:rPr>
          <w:rFonts w:ascii="Times New Roman" w:cs="Times New Roman" w:eastAsia="Times New Roman" w:hAnsi="Times New Roman"/>
          <w:i w:val="false"/>
          <w:iCs w:val="false"/>
          <w:sz w:val="24"/>
          <w:szCs w:val="24"/>
        </w:rPr>
        <w:t xml:space="preserve">(1), 60–99.</w:t>
      </w:r>
    </w:p>
    <w:p>
      <w:pPr>
        <w:spacing w:after="0" w:before="0" w:line="480" w:lineRule="auto"/>
        <w:ind w:left="720" w:hanging="720"/>
      </w:pPr>
      <w:r>
        <w:rPr>
          <w:rFonts w:ascii="Times New Roman" w:cs="Times New Roman" w:eastAsia="Times New Roman" w:hAnsi="Times New Roman"/>
          <w:i w:val="false"/>
          <w:iCs w:val="false"/>
          <w:sz w:val="24"/>
          <w:szCs w:val="24"/>
        </w:rPr>
        <w:t xml:space="preserve">Kaur, A., Young, D., &amp; Kirkpatrick, R. (2016). English education policy in Thailand: Why the poor results? In R. Kirkpatrick (Ed.), </w:t>
      </w:r>
      <w:r>
        <w:rPr>
          <w:rFonts w:ascii="Times New Roman" w:cs="Times New Roman" w:eastAsia="Times New Roman" w:hAnsi="Times New Roman"/>
          <w:i/>
          <w:iCs/>
          <w:sz w:val="24"/>
          <w:szCs w:val="24"/>
        </w:rPr>
        <w:t xml:space="preserve">English language education policy in Asia</w:t>
      </w:r>
      <w:r>
        <w:rPr>
          <w:rFonts w:ascii="Times New Roman" w:cs="Times New Roman" w:eastAsia="Times New Roman" w:hAnsi="Times New Roman"/>
          <w:i w:val="false"/>
          <w:iCs w:val="false"/>
          <w:sz w:val="24"/>
          <w:szCs w:val="24"/>
        </w:rPr>
        <w:t xml:space="preserve"> (pp. 345–361). Springer. https://doi.org/10.1007/978-3-319-22464-0_16</w:t>
      </w:r>
    </w:p>
    <w:p>
      <w:pPr>
        <w:spacing w:after="0" w:before="0" w:line="480" w:lineRule="auto"/>
        <w:ind w:left="720" w:hanging="720"/>
      </w:pPr>
      <w:r>
        <w:rPr>
          <w:rFonts w:ascii="Times New Roman" w:cs="Times New Roman" w:eastAsia="Times New Roman" w:hAnsi="Times New Roman"/>
          <w:i w:val="false"/>
          <w:iCs w:val="false"/>
          <w:sz w:val="24"/>
          <w:szCs w:val="24"/>
        </w:rPr>
        <w:t xml:space="preserve">Nakanishi, T. (2015). A meta-analysis of extensive reading research. </w:t>
      </w:r>
      <w:r>
        <w:rPr>
          <w:rFonts w:ascii="Times New Roman" w:cs="Times New Roman" w:eastAsia="Times New Roman" w:hAnsi="Times New Roman"/>
          <w:i/>
          <w:iCs/>
          <w:sz w:val="24"/>
          <w:szCs w:val="24"/>
        </w:rPr>
        <w:t xml:space="preserve">TESOL Quarterly, 49</w:t>
      </w:r>
      <w:r>
        <w:rPr>
          <w:rFonts w:ascii="Times New Roman" w:cs="Times New Roman" w:eastAsia="Times New Roman" w:hAnsi="Times New Roman"/>
          <w:i w:val="false"/>
          <w:iCs w:val="false"/>
          <w:sz w:val="24"/>
          <w:szCs w:val="24"/>
        </w:rPr>
        <w:t xml:space="preserve">(1), 6–37.</w:t>
      </w:r>
    </w:p>
    <w:p>
      <w:pPr>
        <w:spacing w:after="0" w:before="0" w:line="480" w:lineRule="auto"/>
        <w:ind w:left="720" w:hanging="720"/>
      </w:pPr>
      <w:r>
        <w:rPr>
          <w:rFonts w:ascii="Times New Roman" w:cs="Times New Roman" w:eastAsia="Times New Roman" w:hAnsi="Times New Roman"/>
          <w:i w:val="false"/>
          <w:iCs w:val="false"/>
          <w:sz w:val="24"/>
          <w:szCs w:val="24"/>
        </w:rPr>
        <w:t xml:space="preserve">Norris, J. M., &amp; Ortega, L. (2000). Effectiveness of L2 instruction: A research synthesis and quantitative meta-analysis. </w:t>
      </w:r>
      <w:r>
        <w:rPr>
          <w:rFonts w:ascii="Times New Roman" w:cs="Times New Roman" w:eastAsia="Times New Roman" w:hAnsi="Times New Roman"/>
          <w:i/>
          <w:iCs/>
          <w:sz w:val="24"/>
          <w:szCs w:val="24"/>
        </w:rPr>
        <w:t xml:space="preserve">Language Learning, 50</w:t>
      </w:r>
      <w:r>
        <w:rPr>
          <w:rFonts w:ascii="Times New Roman" w:cs="Times New Roman" w:eastAsia="Times New Roman" w:hAnsi="Times New Roman"/>
          <w:i w:val="false"/>
          <w:iCs w:val="false"/>
          <w:sz w:val="24"/>
          <w:szCs w:val="24"/>
        </w:rPr>
        <w:t xml:space="preserve">(3), 417–528.</w:t>
      </w:r>
    </w:p>
    <w:p>
      <w:pPr>
        <w:spacing w:after="0" w:before="0" w:line="480" w:lineRule="auto"/>
        <w:ind w:left="720" w:hanging="720"/>
      </w:pPr>
      <w:r>
        <w:rPr>
          <w:rFonts w:ascii="Times New Roman" w:cs="Times New Roman" w:eastAsia="Times New Roman" w:hAnsi="Times New Roman"/>
          <w:i w:val="false"/>
          <w:iCs w:val="false"/>
          <w:sz w:val="24"/>
          <w:szCs w:val="24"/>
        </w:rPr>
        <w:t xml:space="preserve">Schwartz, B. D., &amp; Sprouse, R. A. (1996). L2 cognitive states and the Full Transfer/Full Access model. </w:t>
      </w:r>
      <w:r>
        <w:rPr>
          <w:rFonts w:ascii="Times New Roman" w:cs="Times New Roman" w:eastAsia="Times New Roman" w:hAnsi="Times New Roman"/>
          <w:i/>
          <w:iCs/>
          <w:sz w:val="24"/>
          <w:szCs w:val="24"/>
        </w:rPr>
        <w:t xml:space="preserve">Second Language Research, 12</w:t>
      </w:r>
      <w:r>
        <w:rPr>
          <w:rFonts w:ascii="Times New Roman" w:cs="Times New Roman" w:eastAsia="Times New Roman" w:hAnsi="Times New Roman"/>
          <w:i w:val="false"/>
          <w:iCs w:val="false"/>
          <w:sz w:val="24"/>
          <w:szCs w:val="24"/>
        </w:rPr>
        <w:t xml:space="preserve">(1), 40–72.</w:t>
      </w:r>
    </w:p>
    <w:p>
      <w:pPr>
        <w:spacing w:after="0" w:before="0" w:line="480" w:lineRule="auto"/>
        <w:ind w:left="720" w:hanging="720"/>
      </w:pPr>
      <w:r>
        <w:rPr>
          <w:rFonts w:ascii="Times New Roman" w:cs="Times New Roman" w:eastAsia="Times New Roman" w:hAnsi="Times New Roman"/>
          <w:i w:val="false"/>
          <w:iCs w:val="false"/>
          <w:sz w:val="24"/>
          <w:szCs w:val="24"/>
        </w:rPr>
        <w:t xml:space="preserve">Thompson, K. D., Umansky, I. M., &amp; Rew, W. J. (2023). Improving understanding of English learner education through an expanded analytic framework. </w:t>
      </w:r>
      <w:r>
        <w:rPr>
          <w:rFonts w:ascii="Times New Roman" w:cs="Times New Roman" w:eastAsia="Times New Roman" w:hAnsi="Times New Roman"/>
          <w:i/>
          <w:iCs/>
          <w:sz w:val="24"/>
          <w:szCs w:val="24"/>
        </w:rPr>
        <w:t xml:space="preserve">Educational Policy, 37</w:t>
      </w:r>
      <w:r>
        <w:rPr>
          <w:rFonts w:ascii="Times New Roman" w:cs="Times New Roman" w:eastAsia="Times New Roman" w:hAnsi="Times New Roman"/>
          <w:i w:val="false"/>
          <w:iCs w:val="false"/>
          <w:sz w:val="24"/>
          <w:szCs w:val="24"/>
        </w:rPr>
        <w:t xml:space="preserve">(5), 1315–1348. https://doi.org/10.1177/08959048221087214</w:t>
      </w:r>
    </w:p>
    <w:p>
      <w:pPr>
        <w:spacing w:after="0" w:before="0" w:line="480" w:lineRule="auto"/>
        <w:ind w:left="720" w:hanging="720"/>
      </w:pPr>
      <w:r>
        <w:rPr>
          <w:rFonts w:ascii="Times New Roman" w:cs="Times New Roman" w:eastAsia="Times New Roman" w:hAnsi="Times New Roman"/>
          <w:i w:val="false"/>
          <w:iCs w:val="false"/>
          <w:sz w:val="24"/>
          <w:szCs w:val="24"/>
        </w:rPr>
        <w:t xml:space="preserve">Umansky, I. M., &amp; Avelar, J. D. (2023). Canaried in the coal mine: What the experiences and outcomes of students considered long-term English learners teach us about pitfalls in English learner education…and what we can do about it. </w:t>
      </w:r>
      <w:r>
        <w:rPr>
          <w:rFonts w:ascii="Times New Roman" w:cs="Times New Roman" w:eastAsia="Times New Roman" w:hAnsi="Times New Roman"/>
          <w:i/>
          <w:iCs/>
          <w:sz w:val="24"/>
          <w:szCs w:val="24"/>
        </w:rPr>
        <w:t xml:space="preserve">Journal of Education for Students Placed at Risk, 28</w:t>
      </w:r>
      <w:r>
        <w:rPr>
          <w:rFonts w:ascii="Times New Roman" w:cs="Times New Roman" w:eastAsia="Times New Roman" w:hAnsi="Times New Roman"/>
          <w:i w:val="false"/>
          <w:iCs w:val="false"/>
          <w:sz w:val="24"/>
          <w:szCs w:val="24"/>
        </w:rPr>
        <w:t xml:space="preserve">(1), 122–147. https://doi.org/10.1080/10824669.2022.2123326</w:t>
      </w:r>
    </w:p>
    <w:p>
      <w:pPr>
        <w:spacing w:after="0" w:before="0" w:line="480" w:lineRule="auto"/>
        <w:ind w:left="720" w:hanging="720"/>
      </w:pPr>
      <w:r>
        <w:rPr>
          <w:rFonts w:ascii="Times New Roman" w:cs="Times New Roman" w:eastAsia="Times New Roman" w:hAnsi="Times New Roman"/>
          <w:i w:val="false"/>
          <w:iCs w:val="false"/>
          <w:sz w:val="24"/>
          <w:szCs w:val="24"/>
        </w:rPr>
        <w:t xml:space="preserve">White, L. (2003). </w:t>
      </w:r>
      <w:r>
        <w:rPr>
          <w:rFonts w:ascii="Times New Roman" w:cs="Times New Roman" w:eastAsia="Times New Roman" w:hAnsi="Times New Roman"/>
          <w:i/>
          <w:iCs/>
          <w:sz w:val="24"/>
          <w:szCs w:val="24"/>
        </w:rPr>
        <w:t xml:space="preserve">Second language acquisition and Universal Grammar</w:t>
      </w:r>
      <w:r>
        <w:rPr>
          <w:rFonts w:ascii="Times New Roman" w:cs="Times New Roman" w:eastAsia="Times New Roman" w:hAnsi="Times New Roman"/>
          <w:i w:val="false"/>
          <w:iCs w:val="false"/>
          <w:sz w:val="24"/>
          <w:szCs w:val="24"/>
        </w:rPr>
        <w:t xml:space="preserve">. Cambridge University Press.</w:t>
      </w:r>
    </w:p>
    <w:sectPr>
      <w:head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4"/>
        <w:szCs w:val="24"/>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2026-09-22T04:02:38.476Z</dcterms:created>
  <dcterms:modified xsi:type="dcterms:W3CDTF">2026-09-22T04:02:38.488Z</dcterms:modified>
</cp:coreProperties>
</file>

<file path=docProps/custom.xml><?xml version="1.0" encoding="utf-8"?>
<Properties xmlns="http://schemas.openxmlformats.org/officeDocument/2006/custom-properties" xmlns:vt="http://schemas.openxmlformats.org/officeDocument/2006/docPropsVTypes"/>
</file>